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24" w:rsidRPr="002B740E" w:rsidRDefault="002B740E" w:rsidP="006A7024">
      <w:pPr>
        <w:rPr>
          <w:sz w:val="28"/>
          <w:szCs w:val="28"/>
        </w:rPr>
      </w:pPr>
      <w:r>
        <w:rPr>
          <w:sz w:val="22"/>
          <w:szCs w:val="22"/>
        </w:rPr>
        <w:tab/>
      </w:r>
      <w:r>
        <w:rPr>
          <w:sz w:val="22"/>
          <w:szCs w:val="22"/>
        </w:rPr>
        <w:tab/>
      </w:r>
      <w:r>
        <w:rPr>
          <w:sz w:val="22"/>
          <w:szCs w:val="22"/>
        </w:rPr>
        <w:tab/>
      </w:r>
      <w:r>
        <w:rPr>
          <w:sz w:val="22"/>
          <w:szCs w:val="22"/>
        </w:rPr>
        <w:tab/>
      </w:r>
      <w:r w:rsidR="006A7024" w:rsidRPr="002B740E">
        <w:rPr>
          <w:sz w:val="28"/>
          <w:szCs w:val="28"/>
        </w:rPr>
        <w:t>Twin City Plaza, Monroe, LA</w:t>
      </w:r>
      <w:r w:rsidR="006A7024" w:rsidRPr="002B740E">
        <w:rPr>
          <w:sz w:val="28"/>
          <w:szCs w:val="28"/>
        </w:rPr>
        <w:tab/>
      </w:r>
      <w:r w:rsidR="006A7024" w:rsidRPr="002B740E">
        <w:rPr>
          <w:sz w:val="28"/>
          <w:szCs w:val="28"/>
        </w:rPr>
        <w:tab/>
      </w:r>
    </w:p>
    <w:p w:rsidR="006A7024" w:rsidRPr="008F5996" w:rsidRDefault="006A7024" w:rsidP="006A7024">
      <w:pPr>
        <w:rPr>
          <w:sz w:val="22"/>
          <w:szCs w:val="22"/>
        </w:rPr>
      </w:pPr>
    </w:p>
    <w:p w:rsidR="002B740E" w:rsidRDefault="006A7024" w:rsidP="002B740E">
      <w:pPr>
        <w:rPr>
          <w:sz w:val="22"/>
          <w:szCs w:val="22"/>
        </w:rPr>
      </w:pPr>
      <w:r w:rsidRPr="002B740E">
        <w:rPr>
          <w:sz w:val="22"/>
          <w:szCs w:val="22"/>
        </w:rPr>
        <w:t>Leased Premises:</w:t>
      </w:r>
      <w:r w:rsidRPr="002B740E">
        <w:rPr>
          <w:sz w:val="22"/>
          <w:szCs w:val="22"/>
        </w:rPr>
        <w:tab/>
      </w:r>
      <w:r w:rsidRPr="002B740E">
        <w:rPr>
          <w:sz w:val="22"/>
          <w:szCs w:val="22"/>
        </w:rPr>
        <w:tab/>
      </w:r>
      <w:r w:rsidR="003137F2" w:rsidRPr="002B740E">
        <w:rPr>
          <w:sz w:val="22"/>
          <w:szCs w:val="22"/>
        </w:rPr>
        <w:t>Located in a mixe</w:t>
      </w:r>
      <w:r w:rsidR="002B740E" w:rsidRPr="002B740E">
        <w:rPr>
          <w:sz w:val="22"/>
          <w:szCs w:val="22"/>
        </w:rPr>
        <w:t>d use center with ample parking</w:t>
      </w:r>
    </w:p>
    <w:p w:rsidR="002B740E" w:rsidRDefault="006A7024" w:rsidP="002B740E">
      <w:pPr>
        <w:pStyle w:val="ListParagraph"/>
        <w:numPr>
          <w:ilvl w:val="0"/>
          <w:numId w:val="4"/>
        </w:numPr>
      </w:pPr>
      <w:r>
        <w:t>1162 Oliver Road, Suite 9, Monroe, La  71201</w:t>
      </w:r>
    </w:p>
    <w:p w:rsidR="002B740E" w:rsidRDefault="006A7024" w:rsidP="002B740E">
      <w:pPr>
        <w:pStyle w:val="ListParagraph"/>
        <w:numPr>
          <w:ilvl w:val="0"/>
          <w:numId w:val="4"/>
        </w:numPr>
      </w:pPr>
      <w:r>
        <w:t xml:space="preserve"> totaling </w:t>
      </w:r>
      <w:r w:rsidR="002B740E">
        <w:t>a</w:t>
      </w:r>
      <w:r>
        <w:t xml:space="preserve">pproximately 12,600 square feet </w:t>
      </w:r>
      <w:r w:rsidR="002B740E">
        <w:t>of ground floor area</w:t>
      </w:r>
    </w:p>
    <w:p w:rsidR="002B740E" w:rsidRDefault="006A7024" w:rsidP="002B740E">
      <w:pPr>
        <w:pStyle w:val="ListParagraph"/>
        <w:numPr>
          <w:ilvl w:val="0"/>
          <w:numId w:val="4"/>
        </w:numPr>
      </w:pPr>
      <w:r>
        <w:t xml:space="preserve"> finished out and move in ready </w:t>
      </w:r>
    </w:p>
    <w:p w:rsidR="006A7024" w:rsidRDefault="002B740E" w:rsidP="002B740E">
      <w:pPr>
        <w:pStyle w:val="ListParagraph"/>
        <w:numPr>
          <w:ilvl w:val="0"/>
          <w:numId w:val="4"/>
        </w:numPr>
      </w:pPr>
      <w:proofErr w:type="gramStart"/>
      <w:r>
        <w:t>with</w:t>
      </w:r>
      <w:proofErr w:type="gramEnd"/>
      <w:r w:rsidR="006A7024">
        <w:t xml:space="preserve"> an </w:t>
      </w:r>
      <w:r>
        <w:t>a</w:t>
      </w:r>
      <w:r w:rsidR="006A7024">
        <w:t xml:space="preserve">dditional 22,000 </w:t>
      </w:r>
      <w:proofErr w:type="spellStart"/>
      <w:r w:rsidR="006A7024">
        <w:t>s.f</w:t>
      </w:r>
      <w:proofErr w:type="spellEnd"/>
      <w:r w:rsidR="006A7024">
        <w:t xml:space="preserve"> in an adjacent space available</w:t>
      </w:r>
      <w:r>
        <w:t xml:space="preserve"> to tenant by constructing </w:t>
      </w:r>
      <w:r w:rsidR="006A7024">
        <w:t xml:space="preserve">a new cased opening.  </w:t>
      </w:r>
    </w:p>
    <w:p w:rsidR="002B740E" w:rsidRDefault="002B740E" w:rsidP="006A7024"/>
    <w:p w:rsidR="006A7024" w:rsidRPr="008F5996" w:rsidRDefault="006A7024" w:rsidP="006A7024">
      <w:pPr>
        <w:rPr>
          <w:sz w:val="22"/>
          <w:szCs w:val="22"/>
        </w:rPr>
      </w:pPr>
      <w:r w:rsidRPr="008F5996">
        <w:rPr>
          <w:bCs/>
          <w:sz w:val="22"/>
          <w:szCs w:val="22"/>
        </w:rPr>
        <w:t>Landlord:</w:t>
      </w:r>
      <w:r w:rsidRPr="008F5996">
        <w:rPr>
          <w:bCs/>
          <w:sz w:val="22"/>
          <w:szCs w:val="22"/>
        </w:rPr>
        <w:tab/>
      </w:r>
      <w:r w:rsidRPr="008F5996">
        <w:rPr>
          <w:bCs/>
          <w:sz w:val="22"/>
          <w:szCs w:val="22"/>
        </w:rPr>
        <w:tab/>
      </w:r>
      <w:r w:rsidRPr="008F5996">
        <w:rPr>
          <w:bCs/>
          <w:sz w:val="22"/>
          <w:szCs w:val="22"/>
        </w:rPr>
        <w:tab/>
      </w:r>
      <w:r w:rsidRPr="008F5996">
        <w:rPr>
          <w:sz w:val="22"/>
          <w:szCs w:val="22"/>
        </w:rPr>
        <w:t>STRAUSS PROPERTIES, LLC</w:t>
      </w:r>
    </w:p>
    <w:p w:rsidR="006A7024" w:rsidRPr="008F5996" w:rsidRDefault="006A7024" w:rsidP="006A7024">
      <w:pPr>
        <w:ind w:firstLine="2160"/>
        <w:rPr>
          <w:sz w:val="22"/>
          <w:szCs w:val="22"/>
        </w:rPr>
      </w:pPr>
      <w:r w:rsidRPr="008F5996">
        <w:rPr>
          <w:sz w:val="22"/>
          <w:szCs w:val="22"/>
        </w:rPr>
        <w:tab/>
        <w:t>P.O. Box 6058</w:t>
      </w:r>
    </w:p>
    <w:p w:rsidR="006A7024" w:rsidRPr="008F5996" w:rsidRDefault="006A7024" w:rsidP="006A7024">
      <w:pPr>
        <w:ind w:firstLine="2160"/>
        <w:rPr>
          <w:sz w:val="22"/>
          <w:szCs w:val="22"/>
        </w:rPr>
      </w:pPr>
      <w:r w:rsidRPr="008F5996">
        <w:rPr>
          <w:sz w:val="22"/>
          <w:szCs w:val="22"/>
        </w:rPr>
        <w:tab/>
        <w:t>Monroe, Louisiana 71211-6058</w:t>
      </w:r>
    </w:p>
    <w:p w:rsidR="006A7024" w:rsidRPr="008F5996" w:rsidRDefault="006A7024" w:rsidP="006A7024">
      <w:pPr>
        <w:ind w:firstLine="2160"/>
        <w:rPr>
          <w:sz w:val="22"/>
          <w:szCs w:val="22"/>
        </w:rPr>
      </w:pPr>
    </w:p>
    <w:p w:rsidR="006A7024" w:rsidRPr="008F5996" w:rsidRDefault="006A7024" w:rsidP="006A7024">
      <w:pPr>
        <w:rPr>
          <w:sz w:val="22"/>
          <w:szCs w:val="22"/>
        </w:rPr>
      </w:pPr>
      <w:r w:rsidRPr="008F5996">
        <w:rPr>
          <w:sz w:val="22"/>
          <w:szCs w:val="22"/>
        </w:rPr>
        <w:t>Term:</w:t>
      </w:r>
      <w:r w:rsidRPr="008F5996">
        <w:rPr>
          <w:sz w:val="22"/>
          <w:szCs w:val="22"/>
        </w:rPr>
        <w:tab/>
      </w:r>
      <w:r w:rsidRPr="008F5996">
        <w:rPr>
          <w:sz w:val="22"/>
          <w:szCs w:val="22"/>
        </w:rPr>
        <w:tab/>
      </w:r>
      <w:r w:rsidRPr="008F5996">
        <w:rPr>
          <w:sz w:val="22"/>
          <w:szCs w:val="22"/>
        </w:rPr>
        <w:tab/>
      </w:r>
      <w:r w:rsidRPr="008F5996">
        <w:rPr>
          <w:sz w:val="22"/>
          <w:szCs w:val="22"/>
        </w:rPr>
        <w:tab/>
        <w:t>5 years</w:t>
      </w:r>
    </w:p>
    <w:p w:rsidR="006A7024" w:rsidRPr="008F5996" w:rsidRDefault="006A7024" w:rsidP="006A7024">
      <w:pPr>
        <w:rPr>
          <w:sz w:val="22"/>
          <w:szCs w:val="22"/>
        </w:rPr>
      </w:pPr>
    </w:p>
    <w:p w:rsidR="006A7024" w:rsidRPr="008F5996" w:rsidRDefault="006A7024" w:rsidP="006A7024">
      <w:pPr>
        <w:rPr>
          <w:sz w:val="22"/>
          <w:szCs w:val="22"/>
        </w:rPr>
      </w:pPr>
      <w:r w:rsidRPr="008F5996">
        <w:rPr>
          <w:sz w:val="22"/>
          <w:szCs w:val="22"/>
        </w:rPr>
        <w:t>Rent per month:</w:t>
      </w:r>
      <w:r w:rsidRPr="008F5996">
        <w:rPr>
          <w:sz w:val="22"/>
          <w:szCs w:val="22"/>
        </w:rPr>
        <w:tab/>
      </w:r>
      <w:r w:rsidRPr="008F5996">
        <w:rPr>
          <w:sz w:val="22"/>
          <w:szCs w:val="22"/>
        </w:rPr>
        <w:tab/>
      </w:r>
      <w:r w:rsidRPr="008F5996">
        <w:rPr>
          <w:sz w:val="22"/>
          <w:szCs w:val="22"/>
        </w:rPr>
        <w:tab/>
      </w:r>
      <w:r>
        <w:rPr>
          <w:sz w:val="22"/>
          <w:szCs w:val="22"/>
        </w:rPr>
        <w:t>$</w:t>
      </w:r>
      <w:r w:rsidR="009D71D5">
        <w:rPr>
          <w:sz w:val="22"/>
          <w:szCs w:val="22"/>
        </w:rPr>
        <w:t xml:space="preserve"> 8.</w:t>
      </w:r>
      <w:bookmarkStart w:id="0" w:name="_GoBack"/>
      <w:bookmarkEnd w:id="0"/>
      <w:r>
        <w:rPr>
          <w:sz w:val="22"/>
          <w:szCs w:val="22"/>
        </w:rPr>
        <w:t>50</w:t>
      </w:r>
      <w:r w:rsidRPr="008F5996">
        <w:rPr>
          <w:sz w:val="22"/>
          <w:szCs w:val="22"/>
        </w:rPr>
        <w:t xml:space="preserve"> </w:t>
      </w:r>
      <w:proofErr w:type="spellStart"/>
      <w:r w:rsidRPr="008F5996">
        <w:rPr>
          <w:sz w:val="22"/>
          <w:szCs w:val="22"/>
        </w:rPr>
        <w:t>p.</w:t>
      </w:r>
      <w:r>
        <w:rPr>
          <w:sz w:val="22"/>
          <w:szCs w:val="22"/>
        </w:rPr>
        <w:t>s.f</w:t>
      </w:r>
      <w:proofErr w:type="spellEnd"/>
      <w:r>
        <w:rPr>
          <w:sz w:val="22"/>
          <w:szCs w:val="22"/>
        </w:rPr>
        <w:t>.</w:t>
      </w:r>
    </w:p>
    <w:p w:rsidR="006A7024" w:rsidRPr="008F5996" w:rsidRDefault="006A7024" w:rsidP="006A7024">
      <w:pPr>
        <w:ind w:firstLine="2160"/>
        <w:rPr>
          <w:sz w:val="22"/>
          <w:szCs w:val="22"/>
        </w:rPr>
      </w:pPr>
    </w:p>
    <w:p w:rsidR="002B740E" w:rsidRDefault="006A7024" w:rsidP="006A7024">
      <w:pPr>
        <w:rPr>
          <w:sz w:val="22"/>
          <w:szCs w:val="22"/>
        </w:rPr>
      </w:pPr>
      <w:r w:rsidRPr="008F5996">
        <w:rPr>
          <w:sz w:val="22"/>
          <w:szCs w:val="22"/>
        </w:rPr>
        <w:t>Condition of Premises:</w:t>
      </w:r>
      <w:r w:rsidRPr="008F5996">
        <w:rPr>
          <w:sz w:val="22"/>
          <w:szCs w:val="22"/>
        </w:rPr>
        <w:tab/>
      </w:r>
      <w:r w:rsidRPr="008F5996">
        <w:rPr>
          <w:sz w:val="22"/>
          <w:szCs w:val="22"/>
        </w:rPr>
        <w:tab/>
      </w:r>
      <w:r>
        <w:rPr>
          <w:sz w:val="22"/>
          <w:szCs w:val="22"/>
        </w:rPr>
        <w:t xml:space="preserve">Excellent.  </w:t>
      </w:r>
    </w:p>
    <w:p w:rsidR="002B740E" w:rsidRDefault="006A7024" w:rsidP="002B740E">
      <w:pPr>
        <w:pStyle w:val="ListParagraph"/>
        <w:numPr>
          <w:ilvl w:val="0"/>
          <w:numId w:val="6"/>
        </w:numPr>
        <w:rPr>
          <w:sz w:val="22"/>
          <w:szCs w:val="22"/>
        </w:rPr>
      </w:pPr>
      <w:r w:rsidRPr="002B740E">
        <w:rPr>
          <w:sz w:val="22"/>
          <w:szCs w:val="22"/>
        </w:rPr>
        <w:t xml:space="preserve">Currently a government state employment office.  </w:t>
      </w:r>
    </w:p>
    <w:p w:rsidR="002B740E" w:rsidRDefault="006A7024" w:rsidP="002B740E">
      <w:pPr>
        <w:pStyle w:val="ListParagraph"/>
        <w:numPr>
          <w:ilvl w:val="0"/>
          <w:numId w:val="6"/>
        </w:numPr>
        <w:rPr>
          <w:sz w:val="22"/>
          <w:szCs w:val="22"/>
        </w:rPr>
      </w:pPr>
      <w:r w:rsidRPr="002B740E">
        <w:rPr>
          <w:sz w:val="22"/>
          <w:szCs w:val="22"/>
        </w:rPr>
        <w:t>Set up for</w:t>
      </w:r>
      <w:r w:rsidR="002B740E">
        <w:rPr>
          <w:sz w:val="22"/>
          <w:szCs w:val="22"/>
        </w:rPr>
        <w:t xml:space="preserve"> </w:t>
      </w:r>
      <w:r w:rsidRPr="002B740E">
        <w:rPr>
          <w:sz w:val="22"/>
          <w:szCs w:val="22"/>
        </w:rPr>
        <w:t xml:space="preserve">multiple computers, easily adapted to a call center. </w:t>
      </w:r>
    </w:p>
    <w:p w:rsidR="002B740E" w:rsidRDefault="006A7024" w:rsidP="002B740E">
      <w:pPr>
        <w:pStyle w:val="ListParagraph"/>
        <w:numPr>
          <w:ilvl w:val="0"/>
          <w:numId w:val="6"/>
        </w:numPr>
        <w:rPr>
          <w:sz w:val="22"/>
          <w:szCs w:val="22"/>
        </w:rPr>
      </w:pPr>
      <w:r w:rsidRPr="002B740E">
        <w:rPr>
          <w:sz w:val="22"/>
          <w:szCs w:val="22"/>
        </w:rPr>
        <w:t xml:space="preserve">Features some individual offices and mostly open area for cubicles. </w:t>
      </w:r>
    </w:p>
    <w:p w:rsidR="002B740E" w:rsidRDefault="006A7024" w:rsidP="002B740E">
      <w:pPr>
        <w:pStyle w:val="ListParagraph"/>
        <w:numPr>
          <w:ilvl w:val="0"/>
          <w:numId w:val="6"/>
        </w:numPr>
        <w:rPr>
          <w:sz w:val="22"/>
          <w:szCs w:val="22"/>
        </w:rPr>
      </w:pPr>
      <w:r w:rsidRPr="002B740E">
        <w:rPr>
          <w:sz w:val="22"/>
          <w:szCs w:val="22"/>
        </w:rPr>
        <w:t xml:space="preserve">Large break room </w:t>
      </w:r>
    </w:p>
    <w:p w:rsidR="006A7024" w:rsidRPr="002B740E" w:rsidRDefault="002B740E" w:rsidP="002B740E">
      <w:pPr>
        <w:pStyle w:val="ListParagraph"/>
        <w:numPr>
          <w:ilvl w:val="0"/>
          <w:numId w:val="6"/>
        </w:numPr>
        <w:rPr>
          <w:sz w:val="22"/>
          <w:szCs w:val="22"/>
        </w:rPr>
      </w:pPr>
      <w:r>
        <w:rPr>
          <w:sz w:val="22"/>
          <w:szCs w:val="22"/>
        </w:rPr>
        <w:t>L</w:t>
      </w:r>
      <w:r w:rsidR="006A7024" w:rsidRPr="002B740E">
        <w:rPr>
          <w:sz w:val="22"/>
          <w:szCs w:val="22"/>
        </w:rPr>
        <w:t xml:space="preserve">arge restroom facilities.  </w:t>
      </w:r>
    </w:p>
    <w:p w:rsidR="006A7024" w:rsidRPr="008F5996" w:rsidRDefault="006A7024" w:rsidP="006A7024">
      <w:pPr>
        <w:ind w:left="2880" w:hanging="2880"/>
        <w:rPr>
          <w:bCs/>
          <w:sz w:val="22"/>
          <w:szCs w:val="22"/>
        </w:rPr>
      </w:pPr>
      <w:r w:rsidRPr="008F5996">
        <w:rPr>
          <w:sz w:val="22"/>
          <w:szCs w:val="22"/>
        </w:rPr>
        <w:t>R</w:t>
      </w:r>
      <w:r w:rsidRPr="008F5996">
        <w:rPr>
          <w:bCs/>
          <w:sz w:val="22"/>
          <w:szCs w:val="22"/>
        </w:rPr>
        <w:t xml:space="preserve">eal Estate </w:t>
      </w:r>
    </w:p>
    <w:p w:rsidR="006A7024" w:rsidRPr="008F5996" w:rsidRDefault="006A7024" w:rsidP="006A7024">
      <w:pPr>
        <w:ind w:left="2880" w:hanging="2880"/>
        <w:rPr>
          <w:sz w:val="22"/>
          <w:szCs w:val="22"/>
        </w:rPr>
      </w:pPr>
      <w:r w:rsidRPr="008F5996">
        <w:rPr>
          <w:bCs/>
          <w:sz w:val="22"/>
          <w:szCs w:val="22"/>
        </w:rPr>
        <w:t>Taxes:</w:t>
      </w:r>
      <w:r w:rsidRPr="008F5996">
        <w:rPr>
          <w:b/>
          <w:bCs/>
          <w:sz w:val="22"/>
          <w:szCs w:val="22"/>
        </w:rPr>
        <w:tab/>
      </w:r>
      <w:r w:rsidRPr="008F5996">
        <w:rPr>
          <w:bCs/>
          <w:sz w:val="22"/>
          <w:szCs w:val="22"/>
        </w:rPr>
        <w:t>T</w:t>
      </w:r>
      <w:r w:rsidRPr="008F5996">
        <w:rPr>
          <w:sz w:val="22"/>
          <w:szCs w:val="22"/>
        </w:rPr>
        <w:t>enant shall pay Landlord its pro rata share of Real Estate Taxes upon proof of payment by Landlord.  The Tenant’s pro rata share of real estate taxes shall be calculated by dividing Tenant’s ground floor area by the total square fo</w:t>
      </w:r>
      <w:r>
        <w:rPr>
          <w:sz w:val="22"/>
          <w:szCs w:val="22"/>
        </w:rPr>
        <w:t>otage of all floors of all leas</w:t>
      </w:r>
      <w:r w:rsidRPr="008F5996">
        <w:rPr>
          <w:sz w:val="22"/>
          <w:szCs w:val="22"/>
        </w:rPr>
        <w:t xml:space="preserve">able area in the shopping center as defined.  Tax estimated </w:t>
      </w:r>
      <w:r w:rsidR="001F3311">
        <w:rPr>
          <w:sz w:val="22"/>
          <w:szCs w:val="22"/>
        </w:rPr>
        <w:t>at $.17</w:t>
      </w:r>
      <w:r>
        <w:rPr>
          <w:sz w:val="22"/>
          <w:szCs w:val="22"/>
        </w:rPr>
        <w:t xml:space="preserve"> per square foot for 201</w:t>
      </w:r>
      <w:r w:rsidR="001F3311">
        <w:rPr>
          <w:sz w:val="22"/>
          <w:szCs w:val="22"/>
        </w:rPr>
        <w:t>7.</w:t>
      </w:r>
    </w:p>
    <w:p w:rsidR="006A7024" w:rsidRPr="008F5996" w:rsidRDefault="006A7024" w:rsidP="006A7024">
      <w:pPr>
        <w:rPr>
          <w:sz w:val="22"/>
          <w:szCs w:val="22"/>
        </w:rPr>
      </w:pPr>
    </w:p>
    <w:p w:rsidR="006A7024" w:rsidRPr="008F5996" w:rsidRDefault="006A7024" w:rsidP="006A7024">
      <w:pPr>
        <w:rPr>
          <w:sz w:val="22"/>
          <w:szCs w:val="22"/>
        </w:rPr>
      </w:pPr>
      <w:r w:rsidRPr="008F5996">
        <w:rPr>
          <w:bCs/>
          <w:sz w:val="22"/>
          <w:szCs w:val="22"/>
        </w:rPr>
        <w:t>Common Area</w:t>
      </w:r>
      <w:r w:rsidRPr="008F5996">
        <w:rPr>
          <w:bCs/>
          <w:sz w:val="22"/>
          <w:szCs w:val="22"/>
        </w:rPr>
        <w:tab/>
        <w:t>Maintenance:</w:t>
      </w:r>
      <w:r w:rsidRPr="008F5996">
        <w:rPr>
          <w:sz w:val="22"/>
          <w:szCs w:val="22"/>
        </w:rPr>
        <w:tab/>
        <w:t xml:space="preserve">Tenant shall pay toward Common Area </w:t>
      </w:r>
      <w:r w:rsidRPr="008F5996">
        <w:rPr>
          <w:sz w:val="22"/>
          <w:szCs w:val="22"/>
        </w:rPr>
        <w:tab/>
      </w:r>
      <w:proofErr w:type="gramStart"/>
      <w:r w:rsidRPr="008F5996">
        <w:rPr>
          <w:sz w:val="22"/>
          <w:szCs w:val="22"/>
        </w:rPr>
        <w:t>Maintenance  based</w:t>
      </w:r>
      <w:proofErr w:type="gramEnd"/>
      <w:r w:rsidRPr="008F5996">
        <w:rPr>
          <w:sz w:val="22"/>
          <w:szCs w:val="22"/>
        </w:rPr>
        <w:t xml:space="preserve"> on </w:t>
      </w:r>
      <w:r w:rsidRPr="008F5996">
        <w:rPr>
          <w:sz w:val="22"/>
          <w:szCs w:val="22"/>
        </w:rPr>
        <w:tab/>
      </w:r>
      <w:r w:rsidRPr="008F5996">
        <w:rPr>
          <w:sz w:val="22"/>
          <w:szCs w:val="22"/>
        </w:rPr>
        <w:tab/>
      </w:r>
      <w:r w:rsidRPr="008F5996">
        <w:rPr>
          <w:sz w:val="22"/>
          <w:szCs w:val="22"/>
        </w:rPr>
        <w:tab/>
      </w:r>
      <w:r w:rsidRPr="008F5996">
        <w:rPr>
          <w:sz w:val="22"/>
          <w:szCs w:val="22"/>
        </w:rPr>
        <w:tab/>
      </w:r>
      <w:r w:rsidRPr="008F5996">
        <w:rPr>
          <w:sz w:val="22"/>
          <w:szCs w:val="22"/>
        </w:rPr>
        <w:tab/>
      </w:r>
      <w:r>
        <w:rPr>
          <w:sz w:val="22"/>
          <w:szCs w:val="22"/>
        </w:rPr>
        <w:tab/>
      </w:r>
      <w:r w:rsidRPr="008F5996">
        <w:rPr>
          <w:sz w:val="22"/>
          <w:szCs w:val="22"/>
        </w:rPr>
        <w:t xml:space="preserve">pro-rata share of current expenses estimated at $.46 per square </w:t>
      </w:r>
      <w:r w:rsidRPr="008F5996">
        <w:rPr>
          <w:sz w:val="22"/>
          <w:szCs w:val="22"/>
        </w:rPr>
        <w:tab/>
      </w:r>
      <w:r w:rsidRPr="008F5996">
        <w:rPr>
          <w:sz w:val="22"/>
          <w:szCs w:val="22"/>
        </w:rPr>
        <w:tab/>
      </w:r>
      <w:r w:rsidRPr="008F5996">
        <w:rPr>
          <w:sz w:val="22"/>
          <w:szCs w:val="22"/>
        </w:rPr>
        <w:tab/>
      </w:r>
      <w:r w:rsidRPr="008F5996">
        <w:rPr>
          <w:sz w:val="22"/>
          <w:szCs w:val="22"/>
        </w:rPr>
        <w:tab/>
      </w:r>
      <w:r w:rsidRPr="008F5996">
        <w:rPr>
          <w:sz w:val="22"/>
          <w:szCs w:val="22"/>
        </w:rPr>
        <w:tab/>
      </w:r>
      <w:r>
        <w:rPr>
          <w:sz w:val="22"/>
          <w:szCs w:val="22"/>
        </w:rPr>
        <w:tab/>
        <w:t>foot for 201</w:t>
      </w:r>
      <w:r w:rsidR="001F3311">
        <w:rPr>
          <w:sz w:val="22"/>
          <w:szCs w:val="22"/>
        </w:rPr>
        <w:t>7</w:t>
      </w:r>
      <w:r w:rsidRPr="008F5996">
        <w:rPr>
          <w:sz w:val="22"/>
          <w:szCs w:val="22"/>
        </w:rPr>
        <w:t>.</w:t>
      </w:r>
    </w:p>
    <w:p w:rsidR="006A7024" w:rsidRPr="008F5996" w:rsidRDefault="006A7024" w:rsidP="006A7024">
      <w:pPr>
        <w:ind w:left="2160" w:hanging="2160"/>
        <w:rPr>
          <w:sz w:val="22"/>
          <w:szCs w:val="22"/>
        </w:rPr>
      </w:pPr>
    </w:p>
    <w:p w:rsidR="006A7024" w:rsidRPr="008F5996" w:rsidRDefault="006A7024" w:rsidP="006A7024">
      <w:pPr>
        <w:rPr>
          <w:bCs/>
          <w:sz w:val="22"/>
          <w:szCs w:val="22"/>
        </w:rPr>
      </w:pPr>
      <w:r w:rsidRPr="008F5996">
        <w:rPr>
          <w:bCs/>
          <w:sz w:val="22"/>
          <w:szCs w:val="22"/>
        </w:rPr>
        <w:t xml:space="preserve">Hazard </w:t>
      </w:r>
    </w:p>
    <w:p w:rsidR="006A7024" w:rsidRPr="008F5996" w:rsidRDefault="006A7024" w:rsidP="006A7024">
      <w:pPr>
        <w:ind w:left="2880" w:hanging="2880"/>
        <w:rPr>
          <w:sz w:val="22"/>
          <w:szCs w:val="22"/>
        </w:rPr>
      </w:pPr>
      <w:proofErr w:type="gramStart"/>
      <w:r w:rsidRPr="008F5996">
        <w:rPr>
          <w:bCs/>
          <w:sz w:val="22"/>
          <w:szCs w:val="22"/>
        </w:rPr>
        <w:t>Insurance:</w:t>
      </w:r>
      <w:r w:rsidRPr="008F5996">
        <w:rPr>
          <w:sz w:val="22"/>
          <w:szCs w:val="22"/>
        </w:rPr>
        <w:tab/>
        <w:t>By and at the expense of Landlord, subject to reimbursement by Tenant.</w:t>
      </w:r>
      <w:proofErr w:type="gramEnd"/>
      <w:r w:rsidRPr="008F5996">
        <w:rPr>
          <w:sz w:val="22"/>
          <w:szCs w:val="22"/>
        </w:rPr>
        <w:t xml:space="preserve"> Tenant agrees to pay its pro rata share of hazard, fire, and extended coverage insurance based on the same pro-ration formula as real estate taxes above.  Insurance estimated at $.20 per square foot for 201</w:t>
      </w:r>
      <w:r w:rsidR="001F3311">
        <w:rPr>
          <w:sz w:val="22"/>
          <w:szCs w:val="22"/>
        </w:rPr>
        <w:t>7</w:t>
      </w:r>
      <w:r w:rsidRPr="008F5996">
        <w:rPr>
          <w:sz w:val="22"/>
          <w:szCs w:val="22"/>
        </w:rPr>
        <w:t>.</w:t>
      </w:r>
    </w:p>
    <w:p w:rsidR="006A7024" w:rsidRPr="008F5996" w:rsidRDefault="006A7024" w:rsidP="006A7024">
      <w:pPr>
        <w:ind w:left="2880" w:hanging="2880"/>
        <w:rPr>
          <w:sz w:val="22"/>
          <w:szCs w:val="22"/>
        </w:rPr>
      </w:pPr>
    </w:p>
    <w:p w:rsidR="006A7024" w:rsidRPr="008F5996" w:rsidRDefault="006A7024" w:rsidP="006A7024">
      <w:pPr>
        <w:rPr>
          <w:sz w:val="22"/>
          <w:szCs w:val="22"/>
        </w:rPr>
      </w:pPr>
      <w:r w:rsidRPr="008F5996">
        <w:rPr>
          <w:sz w:val="22"/>
          <w:szCs w:val="22"/>
        </w:rPr>
        <w:t xml:space="preserve">Commencement Date </w:t>
      </w:r>
    </w:p>
    <w:p w:rsidR="006A7024" w:rsidRPr="008F5996" w:rsidRDefault="006A7024" w:rsidP="006A7024">
      <w:pPr>
        <w:rPr>
          <w:sz w:val="22"/>
          <w:szCs w:val="22"/>
        </w:rPr>
      </w:pPr>
      <w:r w:rsidRPr="008F5996">
        <w:rPr>
          <w:sz w:val="22"/>
          <w:szCs w:val="22"/>
        </w:rPr>
        <w:t>&amp; Beginning of Rental:</w:t>
      </w:r>
      <w:r w:rsidRPr="008F5996">
        <w:rPr>
          <w:sz w:val="22"/>
          <w:szCs w:val="22"/>
        </w:rPr>
        <w:tab/>
      </w:r>
      <w:r w:rsidRPr="008F5996">
        <w:rPr>
          <w:sz w:val="22"/>
          <w:szCs w:val="22"/>
        </w:rPr>
        <w:tab/>
        <w:t>When office opens to public</w:t>
      </w:r>
    </w:p>
    <w:p w:rsidR="006A7024" w:rsidRPr="008F5996" w:rsidRDefault="006A7024" w:rsidP="006A7024">
      <w:pPr>
        <w:rPr>
          <w:sz w:val="22"/>
          <w:szCs w:val="22"/>
        </w:rPr>
      </w:pPr>
    </w:p>
    <w:p w:rsidR="006A7024" w:rsidRPr="008F5996" w:rsidRDefault="006A7024" w:rsidP="006A7024">
      <w:pPr>
        <w:rPr>
          <w:sz w:val="22"/>
          <w:szCs w:val="22"/>
        </w:rPr>
      </w:pPr>
      <w:r w:rsidRPr="008F5996">
        <w:rPr>
          <w:sz w:val="22"/>
          <w:szCs w:val="22"/>
        </w:rPr>
        <w:t>Options:</w:t>
      </w:r>
      <w:r w:rsidRPr="008F5996">
        <w:rPr>
          <w:sz w:val="22"/>
          <w:szCs w:val="22"/>
        </w:rPr>
        <w:tab/>
      </w:r>
      <w:r w:rsidRPr="008F5996">
        <w:rPr>
          <w:sz w:val="22"/>
          <w:szCs w:val="22"/>
        </w:rPr>
        <w:tab/>
      </w:r>
      <w:r w:rsidRPr="008F5996">
        <w:rPr>
          <w:sz w:val="22"/>
          <w:szCs w:val="22"/>
        </w:rPr>
        <w:tab/>
        <w:t>Available</w:t>
      </w:r>
    </w:p>
    <w:p w:rsidR="006A7024" w:rsidRPr="008F5996" w:rsidRDefault="006A7024" w:rsidP="006A7024">
      <w:pPr>
        <w:rPr>
          <w:sz w:val="22"/>
          <w:szCs w:val="22"/>
        </w:rPr>
      </w:pPr>
    </w:p>
    <w:p w:rsidR="006A7024" w:rsidRPr="008F5996" w:rsidRDefault="006A7024" w:rsidP="006A7024">
      <w:pPr>
        <w:rPr>
          <w:sz w:val="22"/>
          <w:szCs w:val="22"/>
        </w:rPr>
      </w:pPr>
      <w:r w:rsidRPr="008F5996">
        <w:rPr>
          <w:sz w:val="22"/>
          <w:szCs w:val="22"/>
        </w:rPr>
        <w:t xml:space="preserve">Repairs and Maintenance:          Landlord shall be responsible for the structural maintenance described as </w:t>
      </w:r>
      <w:r w:rsidRPr="008F5996">
        <w:rPr>
          <w:sz w:val="22"/>
          <w:szCs w:val="22"/>
        </w:rPr>
        <w:tab/>
      </w:r>
      <w:r w:rsidRPr="008F5996">
        <w:rPr>
          <w:sz w:val="22"/>
          <w:szCs w:val="22"/>
        </w:rPr>
        <w:tab/>
      </w:r>
      <w:r w:rsidRPr="008F5996">
        <w:rPr>
          <w:sz w:val="22"/>
          <w:szCs w:val="22"/>
        </w:rPr>
        <w:tab/>
      </w:r>
      <w:r w:rsidRPr="008F5996">
        <w:rPr>
          <w:sz w:val="22"/>
          <w:szCs w:val="22"/>
        </w:rPr>
        <w:tab/>
      </w:r>
      <w:r w:rsidRPr="008F5996">
        <w:rPr>
          <w:sz w:val="22"/>
          <w:szCs w:val="22"/>
        </w:rPr>
        <w:tab/>
        <w:t xml:space="preserve">the roof, load bearing walls, floor slabs, column, steel joists, both </w:t>
      </w:r>
      <w:r w:rsidRPr="008F5996">
        <w:rPr>
          <w:sz w:val="22"/>
          <w:szCs w:val="22"/>
        </w:rPr>
        <w:tab/>
      </w:r>
      <w:r w:rsidRPr="008F5996">
        <w:rPr>
          <w:sz w:val="22"/>
          <w:szCs w:val="22"/>
        </w:rPr>
        <w:tab/>
      </w:r>
      <w:r w:rsidRPr="008F5996">
        <w:rPr>
          <w:sz w:val="22"/>
          <w:szCs w:val="22"/>
        </w:rPr>
        <w:tab/>
      </w:r>
      <w:r w:rsidRPr="008F5996">
        <w:rPr>
          <w:sz w:val="22"/>
          <w:szCs w:val="22"/>
        </w:rPr>
        <w:tab/>
      </w:r>
      <w:r w:rsidRPr="008F5996">
        <w:rPr>
          <w:sz w:val="22"/>
          <w:szCs w:val="22"/>
        </w:rPr>
        <w:tab/>
        <w:t>exposed and unexposed gutters, down spouts, and exterior walls.</w:t>
      </w:r>
    </w:p>
    <w:p w:rsidR="006A7024" w:rsidRPr="008F5996" w:rsidRDefault="006A7024" w:rsidP="006A7024">
      <w:pPr>
        <w:rPr>
          <w:sz w:val="22"/>
          <w:szCs w:val="22"/>
        </w:rPr>
      </w:pPr>
    </w:p>
    <w:p w:rsidR="006A7024" w:rsidRPr="008F5996" w:rsidRDefault="006A7024" w:rsidP="006A7024">
      <w:pPr>
        <w:ind w:left="2880"/>
        <w:rPr>
          <w:sz w:val="22"/>
          <w:szCs w:val="22"/>
        </w:rPr>
      </w:pPr>
      <w:r w:rsidRPr="008F5996">
        <w:rPr>
          <w:sz w:val="22"/>
          <w:szCs w:val="22"/>
        </w:rPr>
        <w:lastRenderedPageBreak/>
        <w:t xml:space="preserve">Tenant shall be responsible but not limited to plate glass replacements, painting, decorating together with non-structural maintenance including the HVAC system serving the premises, flooring, wood partitions and doors, interior walls, windows, electrical wires and lines, plumbing, gas, water and sewerage facilities, and all interior building appliances and similar equipment and receive warranty where applicable.  </w:t>
      </w:r>
    </w:p>
    <w:p w:rsidR="006A7024" w:rsidRPr="008F5996" w:rsidRDefault="006A7024" w:rsidP="006A7024">
      <w:pPr>
        <w:rPr>
          <w:sz w:val="22"/>
          <w:szCs w:val="22"/>
        </w:rPr>
      </w:pPr>
    </w:p>
    <w:p w:rsidR="006A7024" w:rsidRPr="008F5996" w:rsidRDefault="006A7024" w:rsidP="006A7024">
      <w:pPr>
        <w:rPr>
          <w:sz w:val="22"/>
          <w:szCs w:val="22"/>
        </w:rPr>
      </w:pPr>
      <w:r w:rsidRPr="008F5996">
        <w:rPr>
          <w:sz w:val="22"/>
          <w:szCs w:val="22"/>
        </w:rPr>
        <w:t>Utilities:</w:t>
      </w:r>
      <w:r w:rsidRPr="008F5996">
        <w:rPr>
          <w:sz w:val="22"/>
          <w:szCs w:val="22"/>
        </w:rPr>
        <w:tab/>
      </w:r>
      <w:r w:rsidRPr="008F5996">
        <w:rPr>
          <w:sz w:val="22"/>
          <w:szCs w:val="22"/>
        </w:rPr>
        <w:tab/>
      </w:r>
      <w:r w:rsidRPr="008F5996">
        <w:rPr>
          <w:sz w:val="22"/>
          <w:szCs w:val="22"/>
        </w:rPr>
        <w:tab/>
        <w:t xml:space="preserve">Paid by Tenant; metered separately </w:t>
      </w:r>
    </w:p>
    <w:p w:rsidR="006A7024" w:rsidRPr="008F5996" w:rsidRDefault="006A7024" w:rsidP="006A7024">
      <w:pPr>
        <w:rPr>
          <w:sz w:val="22"/>
          <w:szCs w:val="22"/>
        </w:rPr>
      </w:pPr>
    </w:p>
    <w:p w:rsidR="006A7024" w:rsidRPr="008F5996" w:rsidRDefault="006A7024" w:rsidP="006A7024">
      <w:pPr>
        <w:rPr>
          <w:sz w:val="22"/>
          <w:szCs w:val="22"/>
        </w:rPr>
      </w:pPr>
      <w:r w:rsidRPr="008F5996">
        <w:rPr>
          <w:sz w:val="22"/>
          <w:szCs w:val="22"/>
        </w:rPr>
        <w:t>Signage:</w:t>
      </w:r>
      <w:r w:rsidRPr="008F5996">
        <w:rPr>
          <w:sz w:val="22"/>
          <w:szCs w:val="22"/>
        </w:rPr>
        <w:tab/>
      </w:r>
      <w:r w:rsidRPr="008F5996">
        <w:rPr>
          <w:sz w:val="22"/>
          <w:szCs w:val="22"/>
        </w:rPr>
        <w:tab/>
      </w:r>
      <w:r w:rsidRPr="008F5996">
        <w:rPr>
          <w:sz w:val="22"/>
          <w:szCs w:val="22"/>
        </w:rPr>
        <w:tab/>
        <w:t>Tenant shall be allowed a sign based on Landlord’s sign criteria.</w:t>
      </w:r>
    </w:p>
    <w:p w:rsidR="006A7024" w:rsidRPr="008F5996" w:rsidRDefault="006A7024" w:rsidP="006A7024">
      <w:pPr>
        <w:rPr>
          <w:sz w:val="22"/>
          <w:szCs w:val="22"/>
        </w:rPr>
      </w:pPr>
    </w:p>
    <w:p w:rsidR="006A7024" w:rsidRPr="008F5996" w:rsidRDefault="006A7024" w:rsidP="006A7024">
      <w:pPr>
        <w:ind w:left="2880" w:hanging="2880"/>
        <w:rPr>
          <w:sz w:val="22"/>
          <w:szCs w:val="22"/>
        </w:rPr>
      </w:pPr>
      <w:r w:rsidRPr="008F5996">
        <w:rPr>
          <w:sz w:val="22"/>
          <w:szCs w:val="22"/>
        </w:rPr>
        <w:t>Improvements:</w:t>
      </w:r>
      <w:r w:rsidRPr="008F5996">
        <w:rPr>
          <w:sz w:val="22"/>
          <w:szCs w:val="22"/>
        </w:rPr>
        <w:tab/>
        <w:t xml:space="preserve">Tenant improvement allowance will be based on build out and rental amount adjusted accordingly.  </w:t>
      </w:r>
    </w:p>
    <w:p w:rsidR="006A7024" w:rsidRPr="008F5996" w:rsidRDefault="006A7024" w:rsidP="006A7024">
      <w:pPr>
        <w:rPr>
          <w:sz w:val="22"/>
          <w:szCs w:val="22"/>
        </w:rPr>
      </w:pPr>
    </w:p>
    <w:p w:rsidR="006A7024" w:rsidRPr="008F5996" w:rsidRDefault="006A7024" w:rsidP="006A7024">
      <w:pPr>
        <w:widowControl w:val="0"/>
        <w:spacing w:line="216" w:lineRule="auto"/>
        <w:ind w:left="2880" w:hanging="2880"/>
        <w:rPr>
          <w:snapToGrid w:val="0"/>
          <w:sz w:val="22"/>
          <w:szCs w:val="22"/>
        </w:rPr>
      </w:pPr>
      <w:r w:rsidRPr="008F5996">
        <w:rPr>
          <w:snapToGrid w:val="0"/>
          <w:sz w:val="22"/>
          <w:szCs w:val="22"/>
        </w:rPr>
        <w:t>Security Deposit:</w:t>
      </w:r>
      <w:r w:rsidRPr="008F5996">
        <w:rPr>
          <w:snapToGrid w:val="0"/>
          <w:sz w:val="22"/>
          <w:szCs w:val="22"/>
        </w:rPr>
        <w:tab/>
        <w:t xml:space="preserve">One month’s rent </w:t>
      </w:r>
    </w:p>
    <w:p w:rsidR="006A7024" w:rsidRPr="008F5996" w:rsidRDefault="006A7024" w:rsidP="006A7024">
      <w:pPr>
        <w:widowControl w:val="0"/>
        <w:spacing w:line="216" w:lineRule="auto"/>
        <w:rPr>
          <w:b/>
          <w:snapToGrid w:val="0"/>
          <w:sz w:val="22"/>
          <w:szCs w:val="22"/>
        </w:rPr>
      </w:pPr>
    </w:p>
    <w:p w:rsidR="006A7024" w:rsidRPr="008F5996" w:rsidRDefault="006A7024" w:rsidP="006A7024">
      <w:pPr>
        <w:widowControl w:val="0"/>
        <w:spacing w:line="216" w:lineRule="auto"/>
        <w:rPr>
          <w:b/>
          <w:snapToGrid w:val="0"/>
          <w:sz w:val="22"/>
          <w:szCs w:val="22"/>
        </w:rPr>
      </w:pPr>
    </w:p>
    <w:p w:rsidR="006A7024" w:rsidRPr="008F5996" w:rsidRDefault="006A7024" w:rsidP="006A7024">
      <w:pPr>
        <w:rPr>
          <w:sz w:val="22"/>
          <w:szCs w:val="22"/>
        </w:rPr>
      </w:pPr>
    </w:p>
    <w:p w:rsidR="006A7024" w:rsidRPr="008F5996" w:rsidRDefault="006A7024" w:rsidP="006A7024">
      <w:pPr>
        <w:rPr>
          <w:sz w:val="22"/>
          <w:szCs w:val="22"/>
        </w:rPr>
      </w:pPr>
    </w:p>
    <w:sectPr w:rsidR="006A7024" w:rsidRPr="008F5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8D6"/>
    <w:multiLevelType w:val="hybridMultilevel"/>
    <w:tmpl w:val="D54A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80FED"/>
    <w:multiLevelType w:val="hybridMultilevel"/>
    <w:tmpl w:val="61C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A541E"/>
    <w:multiLevelType w:val="hybridMultilevel"/>
    <w:tmpl w:val="B30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A3B94"/>
    <w:multiLevelType w:val="hybridMultilevel"/>
    <w:tmpl w:val="991676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CAC3E37"/>
    <w:multiLevelType w:val="hybridMultilevel"/>
    <w:tmpl w:val="9E06E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D527BC6"/>
    <w:multiLevelType w:val="hybridMultilevel"/>
    <w:tmpl w:val="6B1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24"/>
    <w:rsid w:val="001F3311"/>
    <w:rsid w:val="002B740E"/>
    <w:rsid w:val="003137F2"/>
    <w:rsid w:val="006A7024"/>
    <w:rsid w:val="009D71D5"/>
    <w:rsid w:val="00D1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Lockhart</dc:creator>
  <cp:lastModifiedBy>Peggy Lockhart</cp:lastModifiedBy>
  <cp:revision>3</cp:revision>
  <dcterms:created xsi:type="dcterms:W3CDTF">2016-04-08T15:36:00Z</dcterms:created>
  <dcterms:modified xsi:type="dcterms:W3CDTF">2018-04-19T15:35:00Z</dcterms:modified>
</cp:coreProperties>
</file>